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85" w:rsidRDefault="003D4485" w:rsidP="003D4485">
      <w:pPr>
        <w:pStyle w:val="BodyText"/>
        <w:jc w:val="both"/>
      </w:pPr>
      <w:r>
        <w:t xml:space="preserve">KLINIČKI CENTAR  </w:t>
      </w:r>
      <w:r>
        <w:tab/>
      </w:r>
      <w:r>
        <w:tab/>
      </w:r>
    </w:p>
    <w:p w:rsidR="003D4485" w:rsidRDefault="003D4485" w:rsidP="003D4485">
      <w:pPr>
        <w:pStyle w:val="BodyText"/>
        <w:jc w:val="both"/>
      </w:pPr>
      <w:r>
        <w:t>ETIČKI ODBOR KLINIČKOG CENTRA VOJVODINE</w:t>
      </w:r>
    </w:p>
    <w:p w:rsidR="003D4485" w:rsidRDefault="003D4485" w:rsidP="003D4485">
      <w:pPr>
        <w:pStyle w:val="BodyText"/>
        <w:jc w:val="both"/>
      </w:pPr>
      <w:r>
        <w:t xml:space="preserve">Predsednik Etičkog odbora </w:t>
      </w:r>
    </w:p>
    <w:p w:rsidR="003D4485" w:rsidRDefault="003D4485" w:rsidP="003D4485">
      <w:pPr>
        <w:pStyle w:val="BodyText"/>
        <w:jc w:val="both"/>
      </w:pPr>
      <w:r>
        <w:t>Prof. dr Edita Stokić</w:t>
      </w:r>
    </w:p>
    <w:p w:rsidR="003D4485" w:rsidRDefault="003D4485" w:rsidP="003D4485">
      <w:pPr>
        <w:pStyle w:val="BodyText"/>
        <w:jc w:val="both"/>
      </w:pPr>
    </w:p>
    <w:p w:rsidR="003D4485" w:rsidRDefault="003D4485" w:rsidP="003D4485">
      <w:pPr>
        <w:pStyle w:val="Heading1"/>
        <w:tabs>
          <w:tab w:val="center" w:pos="4536"/>
          <w:tab w:val="right" w:pos="9072"/>
        </w:tabs>
        <w:jc w:val="left"/>
        <w:rPr>
          <w:sz w:val="24"/>
        </w:rPr>
      </w:pPr>
      <w:r>
        <w:rPr>
          <w:sz w:val="24"/>
        </w:rPr>
        <w:tab/>
        <w:t xml:space="preserve">P O Z I V                  </w:t>
      </w:r>
      <w:r>
        <w:rPr>
          <w:sz w:val="24"/>
        </w:rPr>
        <w:tab/>
      </w:r>
    </w:p>
    <w:p w:rsidR="003D4485" w:rsidRDefault="003D4485" w:rsidP="003D4485">
      <w:pPr>
        <w:tabs>
          <w:tab w:val="left" w:pos="5505"/>
        </w:tabs>
        <w:rPr>
          <w:lang w:val="sl-SI"/>
        </w:rPr>
      </w:pPr>
      <w:r>
        <w:rPr>
          <w:lang w:val="sl-SI"/>
        </w:rPr>
        <w:tab/>
      </w:r>
    </w:p>
    <w:p w:rsidR="003D4485" w:rsidRDefault="003D4485" w:rsidP="003D4485">
      <w:pPr>
        <w:pStyle w:val="BodyText"/>
        <w:ind w:firstLine="720"/>
        <w:jc w:val="both"/>
      </w:pPr>
      <w:r w:rsidRPr="00C33AF6">
        <w:t xml:space="preserve">Pozivate se da prisustvujete </w:t>
      </w:r>
      <w:r>
        <w:t>181.</w:t>
      </w:r>
      <w:r w:rsidRPr="00C33AF6">
        <w:t xml:space="preserve"> </w:t>
      </w:r>
      <w:r>
        <w:t>sednici</w:t>
      </w:r>
      <w:r w:rsidRPr="00C33AF6">
        <w:t xml:space="preserve"> Etičkog odbora </w:t>
      </w:r>
      <w:r>
        <w:t xml:space="preserve">Kliničkog centra Vojvodine koja </w:t>
      </w:r>
      <w:r w:rsidRPr="00C33AF6">
        <w:t>će se održati</w:t>
      </w:r>
      <w:r>
        <w:t xml:space="preserve"> </w:t>
      </w:r>
      <w:r>
        <w:rPr>
          <w:b/>
        </w:rPr>
        <w:t>15</w:t>
      </w:r>
      <w:r w:rsidRPr="0051344A">
        <w:rPr>
          <w:b/>
        </w:rPr>
        <w:t>.10.</w:t>
      </w:r>
      <w:r w:rsidRPr="00842CAA">
        <w:rPr>
          <w:b/>
        </w:rPr>
        <w:t xml:space="preserve">2018. </w:t>
      </w:r>
      <w:r w:rsidRPr="00842CAA">
        <w:rPr>
          <w:b/>
          <w:shd w:val="clear" w:color="auto" w:fill="FFFFFF"/>
        </w:rPr>
        <w:t>godine</w:t>
      </w:r>
      <w:r w:rsidRPr="007A5563">
        <w:rPr>
          <w:b/>
        </w:rPr>
        <w:t xml:space="preserve"> (</w:t>
      </w:r>
      <w:r>
        <w:rPr>
          <w:b/>
        </w:rPr>
        <w:t>ponedeljak</w:t>
      </w:r>
      <w:r w:rsidRPr="007A5563">
        <w:rPr>
          <w:b/>
        </w:rPr>
        <w:t>)</w:t>
      </w:r>
      <w:r>
        <w:t xml:space="preserve"> u</w:t>
      </w:r>
      <w:r w:rsidRPr="00C33AF6">
        <w:t xml:space="preserve"> prostorijama Uprave Kliničkog centra Vojvodine sa početkom </w:t>
      </w:r>
      <w:r w:rsidRPr="00D06658">
        <w:t xml:space="preserve">u </w:t>
      </w:r>
      <w:r w:rsidRPr="00DF5CEC">
        <w:rPr>
          <w:b/>
        </w:rPr>
        <w:t>12,00 časova</w:t>
      </w:r>
      <w:r w:rsidRPr="00DF5CEC">
        <w:t>.</w:t>
      </w:r>
      <w:r w:rsidRPr="0023477D">
        <w:t xml:space="preserve"> </w:t>
      </w:r>
      <w:r>
        <w:t xml:space="preserve">    </w:t>
      </w:r>
      <w:r>
        <w:tab/>
        <w:t xml:space="preserve"> </w:t>
      </w:r>
    </w:p>
    <w:p w:rsidR="003D4485" w:rsidRDefault="003D4485" w:rsidP="003D4485">
      <w:pPr>
        <w:pStyle w:val="BodyText"/>
        <w:tabs>
          <w:tab w:val="left" w:pos="708"/>
          <w:tab w:val="left" w:pos="1416"/>
          <w:tab w:val="left" w:pos="2124"/>
          <w:tab w:val="left" w:pos="4140"/>
        </w:tabs>
        <w:ind w:firstLine="720"/>
        <w:jc w:val="both"/>
      </w:pPr>
      <w:r>
        <w:tab/>
      </w:r>
      <w:r>
        <w:tab/>
      </w:r>
      <w:r>
        <w:tab/>
      </w:r>
    </w:p>
    <w:p w:rsidR="003D4485" w:rsidRDefault="003D4485" w:rsidP="003D4485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Dnevni red:   </w:t>
      </w:r>
    </w:p>
    <w:p w:rsidR="003D4485" w:rsidRDefault="003D4485" w:rsidP="003D4485">
      <w:pPr>
        <w:jc w:val="both"/>
        <w:rPr>
          <w:b/>
          <w:bCs/>
          <w:lang w:val="sl-SI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8930"/>
      </w:tblGrid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1.</w:t>
            </w:r>
          </w:p>
        </w:tc>
        <w:tc>
          <w:tcPr>
            <w:tcW w:w="8930" w:type="dxa"/>
          </w:tcPr>
          <w:p w:rsidR="003D4485" w:rsidRPr="005C00AE" w:rsidRDefault="003D4485" w:rsidP="00C413F1">
            <w:pPr>
              <w:pStyle w:val="BodyTextIndent3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Usvajanje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Zapisnika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179. </w:t>
            </w:r>
            <w:proofErr w:type="spellStart"/>
            <w:r>
              <w:rPr>
                <w:sz w:val="24"/>
                <w:szCs w:val="24"/>
              </w:rPr>
              <w:t>sednice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Etičkog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Kliničkog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Vojvodine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3D4485" w:rsidRDefault="003D4485" w:rsidP="00C413F1">
            <w:pPr>
              <w:pStyle w:val="BodyTextIndent3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Razmatranje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dokumentacije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saglasnosti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sprovođenje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kliničkog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ispitivanja</w:t>
            </w:r>
            <w:proofErr w:type="spellEnd"/>
            <w:r>
              <w:rPr>
                <w:sz w:val="24"/>
                <w:szCs w:val="24"/>
              </w:rPr>
              <w:t xml:space="preserve"> pod </w:t>
            </w:r>
            <w:proofErr w:type="spellStart"/>
            <w:r>
              <w:rPr>
                <w:sz w:val="24"/>
                <w:szCs w:val="24"/>
              </w:rPr>
              <w:t>nazivom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Faza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randomizovano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dvostruko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slepo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placebom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aktivno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kontrolisano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kliničko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ispitivanje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efikasnosti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sigurnosti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dnevno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doziranog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piklidenozona</w:t>
            </w:r>
            <w:proofErr w:type="spellEnd"/>
            <w:r>
              <w:rPr>
                <w:sz w:val="24"/>
                <w:szCs w:val="24"/>
              </w:rPr>
              <w:t xml:space="preserve"> (CF101), </w:t>
            </w:r>
            <w:proofErr w:type="spellStart"/>
            <w:r>
              <w:rPr>
                <w:sz w:val="24"/>
                <w:szCs w:val="24"/>
              </w:rPr>
              <w:t>datog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pacijenata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umerenom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teškom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pločastom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psorijazom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Protokol</w:t>
            </w:r>
            <w:proofErr w:type="spellEnd"/>
            <w:r>
              <w:rPr>
                <w:sz w:val="24"/>
                <w:szCs w:val="24"/>
              </w:rPr>
              <w:t xml:space="preserve"> CF101-301PS, </w:t>
            </w:r>
            <w:proofErr w:type="spellStart"/>
            <w:r>
              <w:rPr>
                <w:sz w:val="24"/>
                <w:szCs w:val="24"/>
              </w:rPr>
              <w:t>glavni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istraživač</w:t>
            </w:r>
            <w:proofErr w:type="spellEnd"/>
            <w:r>
              <w:rPr>
                <w:sz w:val="24"/>
                <w:szCs w:val="24"/>
              </w:rPr>
              <w:t xml:space="preserve"> prof. dr </w:t>
            </w:r>
            <w:proofErr w:type="spellStart"/>
            <w:r>
              <w:rPr>
                <w:sz w:val="24"/>
                <w:szCs w:val="24"/>
              </w:rPr>
              <w:t>Zorica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Gajinov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3.</w:t>
            </w:r>
          </w:p>
        </w:tc>
        <w:tc>
          <w:tcPr>
            <w:tcW w:w="8930" w:type="dxa"/>
          </w:tcPr>
          <w:p w:rsidR="003D4485" w:rsidRDefault="003D4485" w:rsidP="00C413F1">
            <w:pPr>
              <w:pStyle w:val="BodyText"/>
              <w:shd w:val="clear" w:color="auto" w:fill="FFFFFF"/>
              <w:tabs>
                <w:tab w:val="left" w:pos="972"/>
              </w:tabs>
              <w:jc w:val="both"/>
            </w:pPr>
            <w:r>
              <w:t>Dostavljanje obaveštenja o zatvaranju studijskog centra u Kliničkom centru Vojvodine za kliničko ispitivanje pod nazivom "Procena efekata Rivaroksabana u poređenju sa placebom u pogledu smanjenja rizika pojave venske tromboembolije nakon završetka hospitalizacije obolelih pacijenata (MARINER), Protokol RIVAROXDVT3002, Faza III, glavni istraživač doc. dr Biljana Vučković;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4.</w:t>
            </w:r>
          </w:p>
        </w:tc>
        <w:tc>
          <w:tcPr>
            <w:tcW w:w="8930" w:type="dxa"/>
          </w:tcPr>
          <w:p w:rsidR="003D4485" w:rsidRDefault="003D4485" w:rsidP="00C413F1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</w:t>
            </w:r>
            <w:proofErr w:type="spellStart"/>
            <w:r>
              <w:t>ozbiljnom</w:t>
            </w:r>
            <w:proofErr w:type="spellEnd"/>
            <w:r>
              <w:t xml:space="preserve">  </w:t>
            </w:r>
            <w:proofErr w:type="spellStart"/>
            <w:r>
              <w:t>neželjenom</w:t>
            </w:r>
            <w:proofErr w:type="spellEnd"/>
            <w:r>
              <w:t xml:space="preserve"> </w:t>
            </w:r>
            <w:proofErr w:type="spellStart"/>
            <w:r>
              <w:t>događaju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kliničko</w:t>
            </w:r>
            <w:proofErr w:type="spellEnd"/>
            <w:r>
              <w:t xml:space="preserve"> </w:t>
            </w:r>
            <w:proofErr w:type="spellStart"/>
            <w:r>
              <w:t>ispitivanje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</w:t>
            </w:r>
            <w:r w:rsidRPr="004B498C">
              <w:t>"</w:t>
            </w:r>
            <w:proofErr w:type="spellStart"/>
            <w:r w:rsidRPr="004B498C">
              <w:t>Otvorena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studija</w:t>
            </w:r>
            <w:proofErr w:type="spellEnd"/>
            <w:r w:rsidRPr="004B498C">
              <w:t xml:space="preserve"> - </w:t>
            </w:r>
            <w:proofErr w:type="spellStart"/>
            <w:r w:rsidRPr="004B498C">
              <w:t>nastavak</w:t>
            </w:r>
            <w:proofErr w:type="spellEnd"/>
            <w:r w:rsidRPr="004B498C">
              <w:t xml:space="preserve">, </w:t>
            </w:r>
            <w:proofErr w:type="spellStart"/>
            <w:r w:rsidRPr="004B498C">
              <w:t>bez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kontrolne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terapije</w:t>
            </w:r>
            <w:proofErr w:type="spellEnd"/>
            <w:r w:rsidRPr="004B498C">
              <w:t xml:space="preserve">, </w:t>
            </w:r>
            <w:proofErr w:type="spellStart"/>
            <w:r w:rsidRPr="004B498C">
              <w:t>za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procenu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dugotrajne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bezbednosti</w:t>
            </w:r>
            <w:proofErr w:type="spellEnd"/>
            <w:r w:rsidRPr="004B498C">
              <w:t xml:space="preserve">, </w:t>
            </w:r>
            <w:proofErr w:type="spellStart"/>
            <w:r w:rsidRPr="004B498C">
              <w:t>podnošljivosti</w:t>
            </w:r>
            <w:proofErr w:type="spellEnd"/>
            <w:r w:rsidRPr="004B498C">
              <w:t xml:space="preserve"> i </w:t>
            </w:r>
            <w:proofErr w:type="spellStart"/>
            <w:r w:rsidRPr="004B498C">
              <w:t>održavanja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dejstva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leka</w:t>
            </w:r>
            <w:proofErr w:type="spellEnd"/>
            <w:r w:rsidRPr="004B498C">
              <w:t xml:space="preserve"> BIIB074 </w:t>
            </w:r>
            <w:proofErr w:type="spellStart"/>
            <w:r w:rsidRPr="004B498C">
              <w:t>kod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pacijenata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sa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neuropatskim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bolom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izazvanim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lumbosakralnom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radikulopatijom</w:t>
            </w:r>
            <w:proofErr w:type="spellEnd"/>
            <w:r w:rsidRPr="004B498C">
              <w:t xml:space="preserve">" </w:t>
            </w:r>
            <w:proofErr w:type="spellStart"/>
            <w:r w:rsidRPr="004B498C">
              <w:t>Protokol</w:t>
            </w:r>
            <w:proofErr w:type="spellEnd"/>
            <w:r w:rsidRPr="004B498C">
              <w:t xml:space="preserve"> 1014802-204, </w:t>
            </w:r>
            <w:proofErr w:type="spellStart"/>
            <w:r>
              <w:t>Faza</w:t>
            </w:r>
            <w:proofErr w:type="spellEnd"/>
            <w:r>
              <w:t xml:space="preserve"> 2, </w:t>
            </w:r>
            <w:proofErr w:type="spellStart"/>
            <w:r w:rsidRPr="004B498C">
              <w:t>glavni</w:t>
            </w:r>
            <w:proofErr w:type="spellEnd"/>
            <w:r w:rsidRPr="004B498C">
              <w:t xml:space="preserve"> </w:t>
            </w:r>
            <w:proofErr w:type="spellStart"/>
            <w:r w:rsidRPr="004B498C">
              <w:t>istraži</w:t>
            </w:r>
            <w:r>
              <w:t>vač</w:t>
            </w:r>
            <w:proofErr w:type="spellEnd"/>
            <w:r>
              <w:t xml:space="preserve"> doc. dr Aleksandar </w:t>
            </w:r>
            <w:proofErr w:type="spellStart"/>
            <w:r>
              <w:t>Knežević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5.</w:t>
            </w:r>
          </w:p>
          <w:p w:rsidR="003D4485" w:rsidRDefault="003D4485" w:rsidP="00C413F1">
            <w:pPr>
              <w:jc w:val="both"/>
            </w:pPr>
          </w:p>
        </w:tc>
        <w:tc>
          <w:tcPr>
            <w:tcW w:w="8930" w:type="dxa"/>
          </w:tcPr>
          <w:p w:rsidR="003D4485" w:rsidRPr="00040E4C" w:rsidRDefault="003D4485" w:rsidP="00C413F1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</w:t>
            </w:r>
            <w:proofErr w:type="spellStart"/>
            <w:r>
              <w:t>ozbiljnom</w:t>
            </w:r>
            <w:proofErr w:type="spellEnd"/>
            <w:r>
              <w:t xml:space="preserve"> </w:t>
            </w:r>
            <w:proofErr w:type="spellStart"/>
            <w:r>
              <w:t>neželjenom</w:t>
            </w:r>
            <w:proofErr w:type="spellEnd"/>
            <w:r>
              <w:t xml:space="preserve"> </w:t>
            </w:r>
            <w:proofErr w:type="spellStart"/>
            <w:r>
              <w:t>događaju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lek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koristi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 "</w:t>
            </w:r>
            <w:proofErr w:type="spellStart"/>
            <w:r>
              <w:t>Dvostruko</w:t>
            </w:r>
            <w:proofErr w:type="spellEnd"/>
            <w:r>
              <w:t xml:space="preserve"> </w:t>
            </w:r>
            <w:proofErr w:type="spellStart"/>
            <w:r>
              <w:t>slepa</w:t>
            </w:r>
            <w:proofErr w:type="spellEnd"/>
            <w:r>
              <w:t xml:space="preserve">, </w:t>
            </w:r>
            <w:proofErr w:type="spellStart"/>
            <w:r>
              <w:t>placebom</w:t>
            </w:r>
            <w:proofErr w:type="spellEnd"/>
            <w:r>
              <w:t xml:space="preserve"> </w:t>
            </w:r>
            <w:proofErr w:type="spellStart"/>
            <w:r>
              <w:t>kontrolisana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III faze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procenu</w:t>
            </w:r>
            <w:proofErr w:type="spellEnd"/>
            <w:r>
              <w:t xml:space="preserve"> </w:t>
            </w:r>
            <w:proofErr w:type="spellStart"/>
            <w:r>
              <w:t>Quizartiniba</w:t>
            </w:r>
            <w:proofErr w:type="spellEnd"/>
            <w:r>
              <w:t xml:space="preserve"> (AC220) </w:t>
            </w:r>
            <w:proofErr w:type="spellStart"/>
            <w:r>
              <w:t>primenjenog</w:t>
            </w:r>
            <w:proofErr w:type="spellEnd"/>
            <w:r>
              <w:t xml:space="preserve"> u </w:t>
            </w:r>
            <w:proofErr w:type="spellStart"/>
            <w:r>
              <w:t>kombinaciji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hemoterapijom</w:t>
            </w:r>
            <w:proofErr w:type="spellEnd"/>
            <w:r>
              <w:t xml:space="preserve"> u </w:t>
            </w:r>
            <w:proofErr w:type="spellStart"/>
            <w:r>
              <w:t>fazama</w:t>
            </w:r>
            <w:proofErr w:type="spellEnd"/>
            <w:r>
              <w:t xml:space="preserve"> </w:t>
            </w:r>
            <w:proofErr w:type="spellStart"/>
            <w:r>
              <w:t>indukcije</w:t>
            </w:r>
            <w:proofErr w:type="spellEnd"/>
            <w:r>
              <w:t xml:space="preserve"> i </w:t>
            </w:r>
            <w:proofErr w:type="spellStart"/>
            <w:r>
              <w:t>konsolidacije</w:t>
            </w:r>
            <w:proofErr w:type="spellEnd"/>
            <w:r>
              <w:t xml:space="preserve"> i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terapija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ispitanika</w:t>
            </w:r>
            <w:proofErr w:type="spellEnd"/>
            <w:r>
              <w:t xml:space="preserve"> od 18 do 75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starosti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prisutnom</w:t>
            </w:r>
            <w:proofErr w:type="spellEnd"/>
            <w:r>
              <w:t xml:space="preserve"> </w:t>
            </w:r>
            <w:proofErr w:type="spellStart"/>
            <w:r>
              <w:t>mutacijom</w:t>
            </w:r>
            <w:proofErr w:type="spellEnd"/>
            <w:r>
              <w:t xml:space="preserve"> FLT3-ITD (+), a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novodijagnostikovane</w:t>
            </w:r>
            <w:proofErr w:type="spellEnd"/>
            <w:r>
              <w:t xml:space="preserve"> </w:t>
            </w:r>
            <w:proofErr w:type="spellStart"/>
            <w:r>
              <w:t>akutne</w:t>
            </w:r>
            <w:proofErr w:type="spellEnd"/>
            <w:r>
              <w:t xml:space="preserve"> </w:t>
            </w:r>
            <w:proofErr w:type="spellStart"/>
            <w:r>
              <w:t>mijeloidne</w:t>
            </w:r>
            <w:proofErr w:type="spellEnd"/>
            <w:r>
              <w:t xml:space="preserve"> </w:t>
            </w:r>
            <w:proofErr w:type="spellStart"/>
            <w:r>
              <w:t>leukemije</w:t>
            </w:r>
            <w:proofErr w:type="spellEnd"/>
            <w:r>
              <w:t xml:space="preserve"> (</w:t>
            </w:r>
            <w:proofErr w:type="spellStart"/>
            <w:r>
              <w:t>QuANTUM</w:t>
            </w:r>
            <w:proofErr w:type="spellEnd"/>
            <w:r>
              <w:t xml:space="preserve">-First), </w:t>
            </w:r>
            <w:proofErr w:type="spellStart"/>
            <w:r>
              <w:t>Protokol</w:t>
            </w:r>
            <w:proofErr w:type="spellEnd"/>
            <w:r>
              <w:t xml:space="preserve"> AC220-A-U302,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Aleksandar </w:t>
            </w:r>
            <w:proofErr w:type="spellStart"/>
            <w:r>
              <w:t>Savić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6.</w:t>
            </w:r>
          </w:p>
        </w:tc>
        <w:tc>
          <w:tcPr>
            <w:tcW w:w="8930" w:type="dxa"/>
          </w:tcPr>
          <w:p w:rsidR="003D4485" w:rsidRDefault="003D4485" w:rsidP="00C413F1">
            <w:pPr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SUSAR –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kliničko</w:t>
            </w:r>
            <w:proofErr w:type="spellEnd"/>
            <w:r>
              <w:t xml:space="preserve"> </w:t>
            </w:r>
            <w:proofErr w:type="spellStart"/>
            <w:r>
              <w:t>ispitivanje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"</w:t>
            </w:r>
            <w:r>
              <w:rPr>
                <w:lang w:val="sr-Latn-CS"/>
              </w:rPr>
              <w:t>Faza 3, Randomizovano, Dvostruko slepo, Placebo-kontrolisano ispitivanje SGN-35 (brentuksimab vedotina) i najbolje potporne nege (BSC) u poređenju sa placebom i BSC u lečenju pacijenata sa visokim rizikom za pojavu rezidualnog Hodžkinovog limfoma (HL) nakon izvršene autologne transplantacije matičnih ćelija (ASCT)</w:t>
            </w:r>
            <w:r>
              <w:t xml:space="preserve">", </w:t>
            </w:r>
            <w:proofErr w:type="spellStart"/>
            <w:r>
              <w:t>Protokol</w:t>
            </w:r>
            <w:proofErr w:type="spellEnd"/>
            <w:r>
              <w:t xml:space="preserve"> SGN35-005, </w:t>
            </w:r>
            <w:r w:rsidRPr="003A5843">
              <w:t xml:space="preserve"> </w:t>
            </w:r>
            <w:proofErr w:type="spellStart"/>
            <w:r w:rsidRPr="003A5843">
              <w:t>glavni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istra</w:t>
            </w:r>
            <w:r>
              <w:t>živač</w:t>
            </w:r>
            <w:proofErr w:type="spellEnd"/>
            <w:r>
              <w:t xml:space="preserve"> prof. dr Aleksandar </w:t>
            </w:r>
            <w:proofErr w:type="spellStart"/>
            <w:r>
              <w:t>Savić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7.</w:t>
            </w:r>
          </w:p>
        </w:tc>
        <w:tc>
          <w:tcPr>
            <w:tcW w:w="8930" w:type="dxa"/>
          </w:tcPr>
          <w:p w:rsidR="003D4485" w:rsidRPr="005056CF" w:rsidRDefault="003D4485" w:rsidP="00C413F1">
            <w:pPr>
              <w:pStyle w:val="BodyText"/>
              <w:shd w:val="clear" w:color="auto" w:fill="FFFFFF"/>
              <w:tabs>
                <w:tab w:val="left" w:pos="972"/>
              </w:tabs>
              <w:jc w:val="both"/>
            </w:pPr>
            <w:r w:rsidRPr="005056CF">
              <w:t>Razmatranje dokumentacije i davanje saglasnosti na</w:t>
            </w:r>
            <w:r>
              <w:t xml:space="preserve"> izmene i dopune u toku kliničkog ispitivanja pod nazivom </w:t>
            </w:r>
            <w:r w:rsidRPr="005056CF">
              <w:t>“</w:t>
            </w:r>
            <w:r>
              <w:t>Procena učinka implantata Agili-C</w:t>
            </w:r>
            <w:r>
              <w:rPr>
                <w:vertAlign w:val="superscript"/>
              </w:rPr>
              <w:t>TM</w:t>
            </w:r>
            <w:r>
              <w:t xml:space="preserve"> u lečenju osteoartritisa palca na nozi" Protokol CLN0023, postmarketinška faza, glavni istraživač dr Oliver Dulić</w:t>
            </w:r>
            <w:r w:rsidRPr="005056CF"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8.</w:t>
            </w:r>
          </w:p>
        </w:tc>
        <w:tc>
          <w:tcPr>
            <w:tcW w:w="8930" w:type="dxa"/>
          </w:tcPr>
          <w:p w:rsidR="003D4485" w:rsidRPr="00D16A71" w:rsidRDefault="003D4485" w:rsidP="00C413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Razmatranje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dokumentacije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davanje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saglasnosti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izmene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dopune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toku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kliničkog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ispitivanja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pod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nazivom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Prospektivno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multicentrično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otvoreno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randomizirano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kontrolisano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ispitivanje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koje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poredi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Agili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>-C</w:t>
            </w:r>
            <w:r w:rsidRPr="00D16A71">
              <w:rPr>
                <w:rFonts w:ascii="Times New Roman" w:hAnsi="Times New Roman"/>
                <w:sz w:val="24"/>
                <w:szCs w:val="24"/>
                <w:vertAlign w:val="superscript"/>
              </w:rPr>
              <w:t>TM</w:t>
            </w:r>
            <w:r w:rsidRPr="00D16A7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standardnim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hirurškim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tretmanom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(Surgical Standard of Care –SSOC ) u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terapiji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površinskih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lezija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zgloba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kolena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Protokol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CLN0021, Pivot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faza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istraživač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dr Oliver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Dulić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lastRenderedPageBreak/>
              <w:t>9.</w:t>
            </w:r>
          </w:p>
        </w:tc>
        <w:tc>
          <w:tcPr>
            <w:tcW w:w="8930" w:type="dxa"/>
          </w:tcPr>
          <w:p w:rsidR="003D4485" w:rsidRPr="00D16A71" w:rsidRDefault="003D4485" w:rsidP="00C413F1">
            <w:pPr>
              <w:pStyle w:val="BodyText"/>
              <w:shd w:val="clear" w:color="auto" w:fill="FFFFFF"/>
              <w:tabs>
                <w:tab w:val="left" w:pos="972"/>
              </w:tabs>
              <w:jc w:val="both"/>
            </w:pPr>
            <w:r>
              <w:t xml:space="preserve">Dostavljanje obaveštenja o završetku ozbiljnog neželjenog događaja </w:t>
            </w:r>
            <w:r w:rsidRPr="00D16A71">
              <w:t xml:space="preserve">u toku kliničkog ispitivanja pod nazivom </w:t>
            </w:r>
            <w:r>
              <w:t>"Dugoročna studija praćenja pacijenata obolelih od multiple skleroze koji su okončali učešće u Produženoj studiji (CAMMS03409)" Protokol LPS13649, Faza IIIb, v.d. glavnog istraživača do zvaničnog imenovanja dr Lorand Sakalaš</w:t>
            </w:r>
            <w:r w:rsidRPr="00D16A71"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10.</w:t>
            </w:r>
          </w:p>
        </w:tc>
        <w:tc>
          <w:tcPr>
            <w:tcW w:w="8930" w:type="dxa"/>
          </w:tcPr>
          <w:p w:rsidR="003D4485" w:rsidRPr="00D16A71" w:rsidRDefault="003D4485" w:rsidP="00C413F1">
            <w:pPr>
              <w:pStyle w:val="BodyText"/>
              <w:shd w:val="clear" w:color="auto" w:fill="FFFFFF"/>
              <w:tabs>
                <w:tab w:val="left" w:pos="972"/>
              </w:tabs>
              <w:jc w:val="both"/>
            </w:pPr>
            <w:r w:rsidRPr="00D16A71">
              <w:t xml:space="preserve">Razmatranje dokumentacije i davanje saglasnosti na izmene i dopune u toku kliničkog ispitivanja pod nazivom </w:t>
            </w:r>
            <w:r>
              <w:t>"Dugoročna studija praćenja pacijenata obolelih od multiple skleroze koji su okončali učešće u Produženoj studiji (CAMMS03409)" Protokol LPS13649, Faza IIIb, v.d. glavnog istraživača do zvaničnog imenovanja dr Lorand Sakalaš</w:t>
            </w:r>
            <w:r w:rsidRPr="00D16A71"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11.</w:t>
            </w:r>
          </w:p>
        </w:tc>
        <w:tc>
          <w:tcPr>
            <w:tcW w:w="8930" w:type="dxa"/>
          </w:tcPr>
          <w:p w:rsidR="003D4485" w:rsidRPr="00D16A71" w:rsidRDefault="003D4485" w:rsidP="00C413F1">
            <w:pPr>
              <w:pStyle w:val="BodyText"/>
              <w:shd w:val="clear" w:color="auto" w:fill="FFFFFF"/>
              <w:tabs>
                <w:tab w:val="left" w:pos="972"/>
              </w:tabs>
              <w:jc w:val="both"/>
            </w:pPr>
            <w:r>
              <w:t>Dostavljanje tromesečnog izveštaja o</w:t>
            </w:r>
            <w:r w:rsidRPr="00D16A71">
              <w:t xml:space="preserve"> toku kliničkog ispitivanja pod nazivom </w:t>
            </w:r>
            <w:r>
              <w:t>"Dugoročna studija praćenja pacijenata obolelih od multiple skleroze koji su okončali učešće u Produženoj studiji (CAMMS03409)" Protokol LPS13649, Faza IIIb, v.d. glavnog istraživača do zvaničnog imenovanja dr Lorand Sakalaš</w:t>
            </w:r>
            <w:r w:rsidRPr="00D16A71"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12.</w:t>
            </w:r>
          </w:p>
        </w:tc>
        <w:tc>
          <w:tcPr>
            <w:tcW w:w="8930" w:type="dxa"/>
          </w:tcPr>
          <w:p w:rsidR="003D4485" w:rsidRPr="00DB6445" w:rsidRDefault="003D4485" w:rsidP="00C413F1">
            <w:pPr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kvartalnog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 w:rsidRPr="00DB6445">
              <w:t xml:space="preserve"> pod </w:t>
            </w:r>
            <w:proofErr w:type="spellStart"/>
            <w:r w:rsidRPr="00DB6445">
              <w:t>nazivom</w:t>
            </w:r>
            <w:proofErr w:type="spellEnd"/>
            <w:r w:rsidRPr="00DB6445">
              <w:t xml:space="preserve"> </w:t>
            </w:r>
            <w:r>
              <w:t>“</w:t>
            </w:r>
            <w:r>
              <w:rPr>
                <w:rFonts w:cs="Calibri"/>
                <w:bCs/>
                <w:sz w:val="22"/>
                <w:szCs w:val="22"/>
                <w:lang w:val="sr-Latn-RS"/>
              </w:rPr>
              <w:t xml:space="preserve">Multicentrično, randomizovano, dvostruko slepo, placebom kontrolisano ispitivanje efikasnosti i bezbednosti upadacitiniba (ABT-494) tokom uvođenja terapije kod ispitanika sa </w:t>
            </w:r>
            <w:proofErr w:type="spellStart"/>
            <w:r>
              <w:rPr>
                <w:rFonts w:cs="Calibri"/>
                <w:bCs/>
                <w:sz w:val="22"/>
                <w:szCs w:val="22"/>
              </w:rPr>
              <w:t>umereno</w:t>
            </w:r>
            <w:proofErr w:type="spellEnd"/>
            <w:r>
              <w:rPr>
                <w:rFonts w:cs="Calibri"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cs="Calibri"/>
                <w:bCs/>
                <w:sz w:val="22"/>
                <w:szCs w:val="22"/>
              </w:rPr>
              <w:t>teško</w:t>
            </w:r>
            <w:proofErr w:type="spellEnd"/>
            <w:r>
              <w:rPr>
                <w:rFonts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Cs/>
                <w:sz w:val="22"/>
                <w:szCs w:val="22"/>
              </w:rPr>
              <w:t>aktivnom</w:t>
            </w:r>
            <w:proofErr w:type="spellEnd"/>
            <w:r>
              <w:rPr>
                <w:rFonts w:cs="Calibri"/>
                <w:bCs/>
                <w:sz w:val="22"/>
                <w:szCs w:val="22"/>
                <w:lang w:val="sr-Latn-RS"/>
              </w:rPr>
              <w:t xml:space="preserve"> Kronovom bolešću koji ili ne podnose biološku terapiju ili nisu adekvatno odgovorili na nju</w:t>
            </w:r>
            <w:r>
              <w:t xml:space="preserve">” </w:t>
            </w:r>
            <w:proofErr w:type="spellStart"/>
            <w:r>
              <w:t>Protokol</w:t>
            </w:r>
            <w:proofErr w:type="spellEnd"/>
            <w:r>
              <w:t xml:space="preserve"> M14-431,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</w:t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Damjanov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13.</w:t>
            </w:r>
          </w:p>
        </w:tc>
        <w:tc>
          <w:tcPr>
            <w:tcW w:w="8930" w:type="dxa"/>
          </w:tcPr>
          <w:p w:rsidR="003D4485" w:rsidRPr="00DB6445" w:rsidRDefault="003D4485" w:rsidP="00C413F1">
            <w:pPr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kvartalnog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 w:rsidRPr="00DB6445">
              <w:t xml:space="preserve"> pod </w:t>
            </w:r>
            <w:proofErr w:type="spellStart"/>
            <w:r w:rsidRPr="00DB6445">
              <w:t>nazivom</w:t>
            </w:r>
            <w:proofErr w:type="spellEnd"/>
            <w:r w:rsidRPr="00DB6445">
              <w:t xml:space="preserve"> </w:t>
            </w:r>
            <w:r>
              <w:rPr>
                <w:rFonts w:cs="Arial"/>
                <w:color w:val="0D0D0D"/>
                <w:lang w:val="sr-Latn-RS"/>
              </w:rPr>
              <w:t>„</w:t>
            </w:r>
            <w:r>
              <w:rPr>
                <w:rFonts w:cs="Calibri"/>
                <w:bCs/>
                <w:lang w:val="sr-Latn-RS"/>
              </w:rPr>
              <w:t>Multicentrična, randomizovana, dvostruko slepa, placebom kontrolisana studija održavanja i dugoročnog produžetka ispitivanja efikasnosti i bezbednosti upadacitiniba (ABT-494) kod ispitanika koji su završili ispitivanje u studijama M14-431 ili M14-433</w:t>
            </w:r>
            <w:r>
              <w:t xml:space="preserve">, </w:t>
            </w:r>
            <w:proofErr w:type="spellStart"/>
            <w:r>
              <w:t>Protokol</w:t>
            </w:r>
            <w:proofErr w:type="spellEnd"/>
            <w:r>
              <w:t xml:space="preserve"> M14—430,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</w:t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Damjanov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14.</w:t>
            </w:r>
          </w:p>
        </w:tc>
        <w:tc>
          <w:tcPr>
            <w:tcW w:w="8930" w:type="dxa"/>
          </w:tcPr>
          <w:p w:rsidR="003D4485" w:rsidRPr="00DB6445" w:rsidRDefault="003D4485" w:rsidP="00C413F1">
            <w:pPr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kvartalnog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 w:rsidRPr="00DB6445">
              <w:t xml:space="preserve"> pod </w:t>
            </w:r>
            <w:proofErr w:type="spellStart"/>
            <w:r w:rsidRPr="00DB6445">
              <w:t>nazivom</w:t>
            </w:r>
            <w:proofErr w:type="spellEnd"/>
            <w:r w:rsidRPr="00DB6445">
              <w:t xml:space="preserve"> </w:t>
            </w:r>
            <w:r>
              <w:t>“</w:t>
            </w:r>
            <w:proofErr w:type="spellStart"/>
            <w:r>
              <w:rPr>
                <w:rFonts w:cs="Calibri"/>
                <w:bCs/>
              </w:rPr>
              <w:t>Multicentrično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randomizovano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dvostruko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slepo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placebom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kontrolisano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ispitivanje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efikasnosti</w:t>
            </w:r>
            <w:proofErr w:type="spellEnd"/>
            <w:r>
              <w:rPr>
                <w:rFonts w:cs="Calibri"/>
                <w:bCs/>
              </w:rPr>
              <w:t xml:space="preserve"> i </w:t>
            </w:r>
            <w:proofErr w:type="spellStart"/>
            <w:r>
              <w:rPr>
                <w:rFonts w:cs="Calibri"/>
                <w:bCs/>
              </w:rPr>
              <w:t>bezbednosti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upadacitiniba</w:t>
            </w:r>
            <w:proofErr w:type="spellEnd"/>
            <w:r>
              <w:rPr>
                <w:rFonts w:cs="Calibri"/>
                <w:bCs/>
              </w:rPr>
              <w:t xml:space="preserve"> (ABT-494)  </w:t>
            </w:r>
            <w:proofErr w:type="spellStart"/>
            <w:r>
              <w:rPr>
                <w:rFonts w:cs="Calibri"/>
                <w:bCs/>
              </w:rPr>
              <w:t>tokom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uvođenja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terapije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kod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ispitanika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umereno</w:t>
            </w:r>
            <w:proofErr w:type="spellEnd"/>
            <w:r>
              <w:rPr>
                <w:rFonts w:cs="Calibri"/>
                <w:bCs/>
              </w:rPr>
              <w:t xml:space="preserve"> do </w:t>
            </w:r>
            <w:proofErr w:type="spellStart"/>
            <w:r>
              <w:rPr>
                <w:rFonts w:cs="Calibri"/>
                <w:bCs/>
              </w:rPr>
              <w:t>teško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aktivnom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Kronovom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bolešću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koji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nisu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adekvatno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reagovali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na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konvencionalne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terapije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ili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ih</w:t>
            </w:r>
            <w:proofErr w:type="spellEnd"/>
            <w:r>
              <w:rPr>
                <w:rFonts w:cs="Calibri"/>
                <w:bCs/>
              </w:rPr>
              <w:t xml:space="preserve"> ne </w:t>
            </w:r>
            <w:proofErr w:type="spellStart"/>
            <w:r>
              <w:rPr>
                <w:rFonts w:cs="Calibri"/>
                <w:bCs/>
              </w:rPr>
              <w:t>podnose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ali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kod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kojih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biološka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terapija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nije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bila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neuspešna</w:t>
            </w:r>
            <w:proofErr w:type="spellEnd"/>
            <w:r>
              <w:rPr>
                <w:rFonts w:cs="Calibri"/>
                <w:bCs/>
              </w:rPr>
              <w:t xml:space="preserve">  </w:t>
            </w:r>
            <w:r>
              <w:t xml:space="preserve">” </w:t>
            </w:r>
            <w:proofErr w:type="spellStart"/>
            <w:r>
              <w:t>Protokol</w:t>
            </w:r>
            <w:proofErr w:type="spellEnd"/>
            <w:r>
              <w:t xml:space="preserve"> M14-433,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</w:t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Damjanov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15.</w:t>
            </w:r>
          </w:p>
        </w:tc>
        <w:tc>
          <w:tcPr>
            <w:tcW w:w="8930" w:type="dxa"/>
          </w:tcPr>
          <w:p w:rsidR="003D4485" w:rsidRPr="00DB6445" w:rsidRDefault="003D4485" w:rsidP="00C413F1">
            <w:pPr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tromesečnog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 w:rsidRPr="00DB6445">
              <w:t xml:space="preserve"> pod </w:t>
            </w:r>
            <w:proofErr w:type="spellStart"/>
            <w:r w:rsidRPr="00DB6445">
              <w:t>nazivom</w:t>
            </w:r>
            <w:proofErr w:type="spellEnd"/>
            <w:r w:rsidRPr="00DB6445">
              <w:t xml:space="preserve"> </w:t>
            </w:r>
            <w:r w:rsidRPr="000A4123">
              <w:rPr>
                <w:lang w:val="sr-Latn-CS"/>
              </w:rPr>
              <w:t>"Dugoročni nastavak ispitivanja za procenu bezbednosti filgotiniba kod ispitanika sa ulceroznim kolitisom</w:t>
            </w:r>
            <w:r w:rsidRPr="000A4123">
              <w:t xml:space="preserve">" </w:t>
            </w:r>
            <w:proofErr w:type="spellStart"/>
            <w:r w:rsidRPr="000A4123">
              <w:t>Protokol</w:t>
            </w:r>
            <w:proofErr w:type="spellEnd"/>
            <w:r w:rsidRPr="000A4123">
              <w:t xml:space="preserve"> GS-US-418-3899, </w:t>
            </w:r>
            <w:proofErr w:type="spellStart"/>
            <w:r w:rsidRPr="000A4123">
              <w:t>Faza</w:t>
            </w:r>
            <w:proofErr w:type="spellEnd"/>
            <w:r w:rsidRPr="000A4123">
              <w:t xml:space="preserve"> 2b/3,</w:t>
            </w:r>
            <w:r>
              <w:t xml:space="preserve">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</w:t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Damjanov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16.</w:t>
            </w:r>
          </w:p>
        </w:tc>
        <w:tc>
          <w:tcPr>
            <w:tcW w:w="8930" w:type="dxa"/>
          </w:tcPr>
          <w:p w:rsidR="003D4485" w:rsidRPr="00DB6445" w:rsidRDefault="003D4485" w:rsidP="00C413F1">
            <w:pPr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tromesečnog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 w:rsidRPr="00DB6445">
              <w:t xml:space="preserve"> pod </w:t>
            </w:r>
            <w:proofErr w:type="spellStart"/>
            <w:r w:rsidRPr="00DB6445">
              <w:t>nazivom</w:t>
            </w:r>
            <w:proofErr w:type="spellEnd"/>
            <w:r w:rsidRPr="00DB6445">
              <w:t xml:space="preserve"> </w:t>
            </w:r>
            <w:r w:rsidRPr="0030722D">
              <w:rPr>
                <w:lang w:val="sr-Latn-CS"/>
              </w:rPr>
              <w:t>"</w:t>
            </w:r>
            <w:proofErr w:type="spellStart"/>
            <w:r w:rsidRPr="0030722D">
              <w:t>Dvostruko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slepa</w:t>
            </w:r>
            <w:proofErr w:type="spellEnd"/>
            <w:r w:rsidRPr="0030722D">
              <w:t xml:space="preserve">, </w:t>
            </w:r>
            <w:proofErr w:type="spellStart"/>
            <w:r w:rsidRPr="0030722D">
              <w:t>randomizovana</w:t>
            </w:r>
            <w:proofErr w:type="spellEnd"/>
            <w:r w:rsidRPr="0030722D">
              <w:t xml:space="preserve">, </w:t>
            </w:r>
            <w:proofErr w:type="spellStart"/>
            <w:r w:rsidRPr="0030722D">
              <w:t>placebom-kontrolisana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ispitivanja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kombinovane</w:t>
            </w:r>
            <w:proofErr w:type="spellEnd"/>
            <w:r w:rsidRPr="0030722D">
              <w:t xml:space="preserve"> faze 2b/3, </w:t>
            </w:r>
            <w:proofErr w:type="spellStart"/>
            <w:r w:rsidRPr="0030722D">
              <w:t>za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procenjivanje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efikasnosti</w:t>
            </w:r>
            <w:proofErr w:type="spellEnd"/>
            <w:r w:rsidRPr="0030722D">
              <w:t xml:space="preserve"> i </w:t>
            </w:r>
            <w:proofErr w:type="spellStart"/>
            <w:r w:rsidRPr="0030722D">
              <w:t>bezbednosti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filgotiniba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tokom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indukcije</w:t>
            </w:r>
            <w:proofErr w:type="spellEnd"/>
            <w:r w:rsidRPr="0030722D">
              <w:t xml:space="preserve"> i </w:t>
            </w:r>
            <w:proofErr w:type="spellStart"/>
            <w:r w:rsidRPr="0030722D">
              <w:t>održavanja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remisije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kod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ispitanika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sa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umereno</w:t>
            </w:r>
            <w:proofErr w:type="spellEnd"/>
            <w:r w:rsidRPr="0030722D">
              <w:t xml:space="preserve"> do </w:t>
            </w:r>
            <w:proofErr w:type="spellStart"/>
            <w:r w:rsidRPr="0030722D">
              <w:t>jako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aktivnim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ulceroznim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kolitisom</w:t>
            </w:r>
            <w:proofErr w:type="spellEnd"/>
            <w:r w:rsidRPr="0030722D">
              <w:t xml:space="preserve">" </w:t>
            </w:r>
            <w:proofErr w:type="spellStart"/>
            <w:r w:rsidRPr="0030722D">
              <w:t>Protokol</w:t>
            </w:r>
            <w:proofErr w:type="spellEnd"/>
            <w:r w:rsidRPr="0030722D">
              <w:t xml:space="preserve"> GS-US-418-3898, </w:t>
            </w:r>
            <w:proofErr w:type="spellStart"/>
            <w:r w:rsidRPr="0030722D">
              <w:t>glavni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istraživač</w:t>
            </w:r>
            <w:proofErr w:type="spellEnd"/>
            <w:r w:rsidRPr="0030722D">
              <w:t xml:space="preserve"> prof. dr </w:t>
            </w:r>
            <w:proofErr w:type="spellStart"/>
            <w:r w:rsidRPr="0030722D">
              <w:t>Dragomir</w:t>
            </w:r>
            <w:proofErr w:type="spellEnd"/>
            <w:r w:rsidRPr="0030722D">
              <w:t xml:space="preserve"> </w:t>
            </w:r>
            <w:proofErr w:type="spellStart"/>
            <w:r w:rsidRPr="0030722D">
              <w:t>Damjanov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17.</w:t>
            </w:r>
          </w:p>
        </w:tc>
        <w:tc>
          <w:tcPr>
            <w:tcW w:w="8930" w:type="dxa"/>
          </w:tcPr>
          <w:p w:rsidR="003D4485" w:rsidRPr="00DB6445" w:rsidRDefault="003D4485" w:rsidP="00C413F1">
            <w:pPr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tromesečnog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 w:rsidRPr="00DB6445">
              <w:t xml:space="preserve"> pod </w:t>
            </w:r>
            <w:proofErr w:type="spellStart"/>
            <w:r w:rsidRPr="00DB6445">
              <w:t>nazivom</w:t>
            </w:r>
            <w:proofErr w:type="spellEnd"/>
            <w:r w:rsidRPr="00DB6445">
              <w:t xml:space="preserve"> </w:t>
            </w:r>
            <w:r>
              <w:rPr>
                <w:lang w:val="sr-Latn-CS"/>
              </w:rPr>
              <w:t>"</w:t>
            </w:r>
            <w:proofErr w:type="spellStart"/>
            <w:r>
              <w:t>Dvostruko</w:t>
            </w:r>
            <w:proofErr w:type="spellEnd"/>
            <w:r>
              <w:t xml:space="preserve"> </w:t>
            </w:r>
            <w:proofErr w:type="spellStart"/>
            <w:r>
              <w:t>slepa</w:t>
            </w:r>
            <w:proofErr w:type="spellEnd"/>
            <w:r>
              <w:t xml:space="preserve">, </w:t>
            </w:r>
            <w:proofErr w:type="spellStart"/>
            <w:r>
              <w:t>randomizovana</w:t>
            </w:r>
            <w:proofErr w:type="spellEnd"/>
            <w:r>
              <w:t xml:space="preserve">, </w:t>
            </w:r>
            <w:proofErr w:type="spellStart"/>
            <w:r>
              <w:t>placebom-kontrolisana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</w:t>
            </w:r>
            <w:proofErr w:type="spellStart"/>
            <w:r>
              <w:t>kombinovane</w:t>
            </w:r>
            <w:proofErr w:type="spellEnd"/>
            <w:r>
              <w:t xml:space="preserve"> faze 3,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procenjivanje</w:t>
            </w:r>
            <w:proofErr w:type="spellEnd"/>
            <w:r>
              <w:t xml:space="preserve"> </w:t>
            </w:r>
            <w:proofErr w:type="spellStart"/>
            <w:r>
              <w:t>efikasnosti</w:t>
            </w:r>
            <w:proofErr w:type="spellEnd"/>
            <w:r>
              <w:t xml:space="preserve"> i </w:t>
            </w:r>
            <w:proofErr w:type="spellStart"/>
            <w:r>
              <w:t>bezbednosti</w:t>
            </w:r>
            <w:proofErr w:type="spellEnd"/>
            <w:r>
              <w:t xml:space="preserve"> </w:t>
            </w:r>
            <w:proofErr w:type="spellStart"/>
            <w:r>
              <w:t>filgotiniba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indukcije</w:t>
            </w:r>
            <w:proofErr w:type="spellEnd"/>
            <w:r>
              <w:t xml:space="preserve"> i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remisije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ispitanika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umereno</w:t>
            </w:r>
            <w:proofErr w:type="spellEnd"/>
            <w:r>
              <w:t xml:space="preserve"> do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aktivnom</w:t>
            </w:r>
            <w:proofErr w:type="spellEnd"/>
            <w:r>
              <w:t xml:space="preserve"> </w:t>
            </w:r>
            <w:proofErr w:type="spellStart"/>
            <w:r>
              <w:t>Kronovom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>"</w:t>
            </w:r>
            <w:r w:rsidRPr="0078483B">
              <w:t xml:space="preserve"> </w:t>
            </w:r>
            <w:proofErr w:type="spellStart"/>
            <w:r w:rsidRPr="0078483B">
              <w:t>Protokol</w:t>
            </w:r>
            <w:proofErr w:type="spellEnd"/>
            <w:r w:rsidRPr="0078483B">
              <w:t xml:space="preserve"> </w:t>
            </w:r>
            <w:r>
              <w:t>GS-US-419-3895</w:t>
            </w:r>
            <w:r w:rsidRPr="0078483B">
              <w:t>,</w:t>
            </w:r>
            <w:r>
              <w:t xml:space="preserve"> </w:t>
            </w:r>
            <w:proofErr w:type="spellStart"/>
            <w:r w:rsidRPr="0078483B">
              <w:t>glavni</w:t>
            </w:r>
            <w:proofErr w:type="spellEnd"/>
            <w:r w:rsidRPr="0078483B">
              <w:t xml:space="preserve"> </w:t>
            </w:r>
            <w:proofErr w:type="spellStart"/>
            <w:r w:rsidRPr="0078483B">
              <w:t>istraž</w:t>
            </w:r>
            <w:r>
              <w:t>ivač</w:t>
            </w:r>
            <w:proofErr w:type="spellEnd"/>
            <w:r>
              <w:t xml:space="preserve"> prof. dr </w:t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Damjanov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18.</w:t>
            </w:r>
          </w:p>
        </w:tc>
        <w:tc>
          <w:tcPr>
            <w:tcW w:w="8930" w:type="dxa"/>
          </w:tcPr>
          <w:p w:rsidR="003D4485" w:rsidRPr="00DB6445" w:rsidRDefault="003D4485" w:rsidP="00C413F1">
            <w:pPr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tromesečnog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 w:rsidRPr="00DB6445">
              <w:t xml:space="preserve"> pod </w:t>
            </w:r>
            <w:proofErr w:type="spellStart"/>
            <w:r w:rsidRPr="00DB6445">
              <w:t>nazivom</w:t>
            </w:r>
            <w:proofErr w:type="spellEnd"/>
            <w:r w:rsidRPr="00DB6445">
              <w:t xml:space="preserve"> </w:t>
            </w:r>
            <w:r>
              <w:rPr>
                <w:lang w:val="sr-Latn-CS"/>
              </w:rPr>
              <w:t>"Dugoročni nastavak ispitivanja za procenu bezbednosti filgotiniba kod ispitanika sa Kronovom bolesti</w:t>
            </w:r>
            <w:r>
              <w:t xml:space="preserve">" </w:t>
            </w:r>
            <w:proofErr w:type="spellStart"/>
            <w:r>
              <w:t>Protokol</w:t>
            </w:r>
            <w:proofErr w:type="spellEnd"/>
            <w:r>
              <w:t xml:space="preserve"> GS-US-419-3896, </w:t>
            </w:r>
            <w:proofErr w:type="spellStart"/>
            <w:r>
              <w:t>Faza</w:t>
            </w:r>
            <w:proofErr w:type="spellEnd"/>
            <w:r>
              <w:t xml:space="preserve"> 3 </w:t>
            </w:r>
            <w:proofErr w:type="spellStart"/>
            <w:r>
              <w:t>kombinovana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</w:t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Damjanov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Pr="00642B98" w:rsidRDefault="003D4485" w:rsidP="00C413F1">
            <w:pPr>
              <w:jc w:val="both"/>
            </w:pPr>
            <w:r>
              <w:lastRenderedPageBreak/>
              <w:t>19.</w:t>
            </w:r>
          </w:p>
        </w:tc>
        <w:tc>
          <w:tcPr>
            <w:tcW w:w="8930" w:type="dxa"/>
          </w:tcPr>
          <w:p w:rsidR="003D4485" w:rsidRPr="0032175C" w:rsidRDefault="003D4485" w:rsidP="00C413F1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SUSAR </w:t>
            </w:r>
            <w:proofErr w:type="spellStart"/>
            <w:r>
              <w:t>izveštajima</w:t>
            </w:r>
            <w:proofErr w:type="spellEnd"/>
            <w:r>
              <w:t xml:space="preserve"> </w:t>
            </w:r>
            <w:proofErr w:type="spellStart"/>
            <w:r w:rsidRPr="00291717">
              <w:rPr>
                <w:b/>
              </w:rPr>
              <w:t>koji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ni</w:t>
            </w:r>
            <w:r>
              <w:rPr>
                <w:b/>
              </w:rPr>
              <w:t>su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dostup</w:t>
            </w:r>
            <w:r>
              <w:rPr>
                <w:b/>
              </w:rPr>
              <w:t>ni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glavnom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istraživaču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niti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članovima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studijskog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tima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t>za</w:t>
            </w:r>
            <w:proofErr w:type="spellEnd"/>
            <w:r w:rsidRPr="00291717">
              <w:t xml:space="preserve"> </w:t>
            </w:r>
            <w:proofErr w:type="spellStart"/>
            <w:r>
              <w:t>ispitivani</w:t>
            </w:r>
            <w:proofErr w:type="spellEnd"/>
            <w:r>
              <w:t xml:space="preserve"> </w:t>
            </w:r>
            <w:proofErr w:type="spellStart"/>
            <w:r>
              <w:t>lek</w:t>
            </w:r>
            <w:proofErr w:type="spellEnd"/>
            <w:r>
              <w:t xml:space="preserve"> </w:t>
            </w:r>
            <w:proofErr w:type="spellStart"/>
            <w:r>
              <w:t>Filgotinib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u </w:t>
            </w:r>
            <w:proofErr w:type="spellStart"/>
            <w:r w:rsidRPr="00291717">
              <w:t>kliničko</w:t>
            </w:r>
            <w:r>
              <w:t>m</w:t>
            </w:r>
            <w:proofErr w:type="spellEnd"/>
            <w:r w:rsidRPr="00291717">
              <w:t xml:space="preserve">  </w:t>
            </w:r>
            <w:proofErr w:type="spellStart"/>
            <w:r w:rsidRPr="00291717">
              <w:t>ispitivanj</w:t>
            </w:r>
            <w:r>
              <w:t>u</w:t>
            </w:r>
            <w:proofErr w:type="spellEnd"/>
            <w:r w:rsidRPr="00291717">
              <w:t xml:space="preserve"> pod </w:t>
            </w:r>
            <w:proofErr w:type="spellStart"/>
            <w:r w:rsidRPr="00291717">
              <w:t>nazivom</w:t>
            </w:r>
            <w:proofErr w:type="spellEnd"/>
            <w:r>
              <w:t xml:space="preserve"> </w:t>
            </w:r>
            <w:proofErr w:type="spellStart"/>
            <w:r w:rsidRPr="0032175C">
              <w:t>iz</w:t>
            </w:r>
            <w:proofErr w:type="spellEnd"/>
            <w:r w:rsidRPr="0032175C">
              <w:t xml:space="preserve"> </w:t>
            </w:r>
            <w:proofErr w:type="spellStart"/>
            <w:r w:rsidRPr="0032175C">
              <w:t>kliničkih</w:t>
            </w:r>
            <w:proofErr w:type="spellEnd"/>
            <w:r w:rsidRPr="0032175C">
              <w:t xml:space="preserve"> </w:t>
            </w:r>
            <w:proofErr w:type="spellStart"/>
            <w:r w:rsidRPr="0032175C">
              <w:t>ispitivanja</w:t>
            </w:r>
            <w:proofErr w:type="spellEnd"/>
            <w:r w:rsidRPr="0032175C">
              <w:t xml:space="preserve"> pod </w:t>
            </w:r>
            <w:proofErr w:type="spellStart"/>
            <w:r w:rsidRPr="0032175C">
              <w:t>protokolima</w:t>
            </w:r>
            <w:proofErr w:type="spellEnd"/>
            <w:r w:rsidRPr="0032175C">
              <w:t>:</w:t>
            </w:r>
          </w:p>
          <w:p w:rsidR="003D4485" w:rsidRPr="0032175C" w:rsidRDefault="003D4485" w:rsidP="00C413F1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r w:rsidRPr="0032175C">
              <w:t xml:space="preserve">- </w:t>
            </w:r>
            <w:proofErr w:type="spellStart"/>
            <w:r w:rsidRPr="0032175C">
              <w:t>Protokol</w:t>
            </w:r>
            <w:proofErr w:type="spellEnd"/>
            <w:r w:rsidRPr="0032175C">
              <w:t xml:space="preserve"> GS-US-419-3895 </w:t>
            </w:r>
            <w:proofErr w:type="spellStart"/>
            <w:r w:rsidRPr="0032175C">
              <w:t>glavni</w:t>
            </w:r>
            <w:proofErr w:type="spellEnd"/>
            <w:r w:rsidRPr="0032175C">
              <w:t xml:space="preserve"> </w:t>
            </w:r>
            <w:proofErr w:type="spellStart"/>
            <w:r w:rsidRPr="0032175C">
              <w:t>istraživač</w:t>
            </w:r>
            <w:proofErr w:type="spellEnd"/>
            <w:r w:rsidRPr="0032175C">
              <w:t xml:space="preserve"> prof. dr </w:t>
            </w:r>
            <w:proofErr w:type="spellStart"/>
            <w:r w:rsidRPr="0032175C">
              <w:t>Dragomir</w:t>
            </w:r>
            <w:proofErr w:type="spellEnd"/>
            <w:r w:rsidRPr="0032175C">
              <w:t xml:space="preserve"> </w:t>
            </w:r>
            <w:proofErr w:type="spellStart"/>
            <w:r w:rsidRPr="0032175C">
              <w:t>Damjanov</w:t>
            </w:r>
            <w:proofErr w:type="spellEnd"/>
            <w:r w:rsidRPr="0032175C">
              <w:t>,</w:t>
            </w:r>
          </w:p>
          <w:p w:rsidR="003D4485" w:rsidRPr="0032175C" w:rsidRDefault="003D4485" w:rsidP="00C413F1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r w:rsidRPr="0032175C">
              <w:t xml:space="preserve">- </w:t>
            </w:r>
            <w:proofErr w:type="spellStart"/>
            <w:r w:rsidRPr="0032175C">
              <w:t>Protokol</w:t>
            </w:r>
            <w:proofErr w:type="spellEnd"/>
            <w:r w:rsidRPr="0032175C">
              <w:t xml:space="preserve"> GS-US-419-3896 </w:t>
            </w:r>
            <w:proofErr w:type="spellStart"/>
            <w:r w:rsidRPr="0032175C">
              <w:t>glavni</w:t>
            </w:r>
            <w:proofErr w:type="spellEnd"/>
            <w:r w:rsidRPr="0032175C">
              <w:t xml:space="preserve"> </w:t>
            </w:r>
            <w:proofErr w:type="spellStart"/>
            <w:r w:rsidRPr="0032175C">
              <w:t>istraživač</w:t>
            </w:r>
            <w:proofErr w:type="spellEnd"/>
            <w:r w:rsidRPr="0032175C">
              <w:t xml:space="preserve"> prof. dr </w:t>
            </w:r>
            <w:proofErr w:type="spellStart"/>
            <w:r w:rsidRPr="0032175C">
              <w:t>Dragomir</w:t>
            </w:r>
            <w:proofErr w:type="spellEnd"/>
            <w:r w:rsidRPr="0032175C">
              <w:t xml:space="preserve"> </w:t>
            </w:r>
            <w:proofErr w:type="spellStart"/>
            <w:r w:rsidRPr="0032175C">
              <w:t>Damjanov</w:t>
            </w:r>
            <w:proofErr w:type="spellEnd"/>
            <w:r w:rsidRPr="0032175C">
              <w:t>,</w:t>
            </w:r>
          </w:p>
          <w:p w:rsidR="003D4485" w:rsidRPr="0032175C" w:rsidRDefault="003D4485" w:rsidP="00C413F1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r w:rsidRPr="0032175C">
              <w:t xml:space="preserve">- </w:t>
            </w:r>
            <w:proofErr w:type="spellStart"/>
            <w:r w:rsidRPr="0032175C">
              <w:t>Protokol</w:t>
            </w:r>
            <w:proofErr w:type="spellEnd"/>
            <w:r w:rsidRPr="0032175C">
              <w:t xml:space="preserve"> GS-US-418-3899 </w:t>
            </w:r>
            <w:proofErr w:type="spellStart"/>
            <w:r w:rsidRPr="0032175C">
              <w:t>glavni</w:t>
            </w:r>
            <w:proofErr w:type="spellEnd"/>
            <w:r w:rsidRPr="0032175C">
              <w:t xml:space="preserve"> </w:t>
            </w:r>
            <w:proofErr w:type="spellStart"/>
            <w:r w:rsidRPr="0032175C">
              <w:t>istraživač</w:t>
            </w:r>
            <w:proofErr w:type="spellEnd"/>
            <w:r w:rsidRPr="0032175C">
              <w:t xml:space="preserve"> prof. dr </w:t>
            </w:r>
            <w:proofErr w:type="spellStart"/>
            <w:r w:rsidRPr="0032175C">
              <w:t>Dragomir</w:t>
            </w:r>
            <w:proofErr w:type="spellEnd"/>
            <w:r w:rsidRPr="0032175C">
              <w:t xml:space="preserve"> </w:t>
            </w:r>
            <w:proofErr w:type="spellStart"/>
            <w:r w:rsidRPr="0032175C">
              <w:t>Damjanov</w:t>
            </w:r>
            <w:proofErr w:type="spellEnd"/>
            <w:r w:rsidRPr="0032175C">
              <w:t>,</w:t>
            </w:r>
          </w:p>
          <w:p w:rsidR="003D4485" w:rsidRPr="0032175C" w:rsidRDefault="003D4485" w:rsidP="00C413F1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r w:rsidRPr="0032175C">
              <w:t xml:space="preserve">- </w:t>
            </w:r>
            <w:proofErr w:type="spellStart"/>
            <w:r w:rsidRPr="0032175C">
              <w:t>Protokol</w:t>
            </w:r>
            <w:proofErr w:type="spellEnd"/>
            <w:r w:rsidRPr="0032175C">
              <w:t xml:space="preserve"> GS-US-418-3898 </w:t>
            </w:r>
            <w:proofErr w:type="spellStart"/>
            <w:r w:rsidRPr="0032175C">
              <w:t>glavni</w:t>
            </w:r>
            <w:proofErr w:type="spellEnd"/>
            <w:r w:rsidRPr="0032175C">
              <w:t xml:space="preserve"> </w:t>
            </w:r>
            <w:proofErr w:type="spellStart"/>
            <w:r w:rsidRPr="0032175C">
              <w:t>istraživač</w:t>
            </w:r>
            <w:proofErr w:type="spellEnd"/>
            <w:r w:rsidRPr="0032175C">
              <w:t xml:space="preserve"> prof. dr </w:t>
            </w:r>
            <w:proofErr w:type="spellStart"/>
            <w:r w:rsidRPr="0032175C">
              <w:t>Dragomir</w:t>
            </w:r>
            <w:proofErr w:type="spellEnd"/>
            <w:r w:rsidRPr="0032175C">
              <w:t xml:space="preserve"> </w:t>
            </w:r>
            <w:proofErr w:type="spellStart"/>
            <w:r w:rsidRPr="0032175C">
              <w:t>Damjanov</w:t>
            </w:r>
            <w:proofErr w:type="spellEnd"/>
            <w:r w:rsidRPr="0032175C">
              <w:t>,</w:t>
            </w:r>
          </w:p>
          <w:p w:rsidR="003D4485" w:rsidRPr="00040E4C" w:rsidRDefault="003D4485" w:rsidP="00C413F1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r w:rsidRPr="0032175C">
              <w:rPr>
                <w:lang w:val="sr-Latn-CS"/>
              </w:rPr>
              <w:t xml:space="preserve"> izvestilac je </w:t>
            </w:r>
            <w:r w:rsidRPr="0032175C">
              <w:t xml:space="preserve">doc. dr Nenad </w:t>
            </w:r>
            <w:proofErr w:type="spellStart"/>
            <w:r w:rsidRPr="0032175C">
              <w:t>Ćetković</w:t>
            </w:r>
            <w:proofErr w:type="spellEnd"/>
            <w:r w:rsidRPr="0032175C">
              <w:t>,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20.</w:t>
            </w:r>
          </w:p>
        </w:tc>
        <w:tc>
          <w:tcPr>
            <w:tcW w:w="8930" w:type="dxa"/>
          </w:tcPr>
          <w:p w:rsidR="003D4485" w:rsidRDefault="003D4485" w:rsidP="00C413F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Razno</w:t>
            </w:r>
            <w:proofErr w:type="spellEnd"/>
          </w:p>
        </w:tc>
      </w:tr>
    </w:tbl>
    <w:p w:rsidR="003D4485" w:rsidRDefault="003D4485" w:rsidP="003D4485">
      <w:pPr>
        <w:shd w:val="clear" w:color="auto" w:fill="FFFFFF"/>
        <w:ind w:left="4248" w:firstLine="708"/>
        <w:jc w:val="both"/>
        <w:rPr>
          <w:b/>
          <w:bCs/>
        </w:rPr>
      </w:pPr>
    </w:p>
    <w:p w:rsidR="003D4485" w:rsidRDefault="003D4485" w:rsidP="003D4485">
      <w:pPr>
        <w:shd w:val="clear" w:color="auto" w:fill="FFFFFF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8930"/>
      </w:tblGrid>
      <w:tr w:rsidR="003D4485" w:rsidRPr="004D27EE" w:rsidTr="00C413F1">
        <w:tc>
          <w:tcPr>
            <w:tcW w:w="9874" w:type="dxa"/>
            <w:gridSpan w:val="2"/>
          </w:tcPr>
          <w:p w:rsidR="003D4485" w:rsidRDefault="003D4485" w:rsidP="00C413F1">
            <w:pPr>
              <w:pStyle w:val="BodyTextIndent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DE2285">
              <w:rPr>
                <w:sz w:val="24"/>
                <w:szCs w:val="24"/>
              </w:rPr>
              <w:t>DISERTACIJE, STRUČNI, NAUČNI I STUDENTSKI RADOVI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21.</w:t>
            </w:r>
          </w:p>
        </w:tc>
        <w:tc>
          <w:tcPr>
            <w:tcW w:w="8930" w:type="dxa"/>
          </w:tcPr>
          <w:p w:rsidR="003D4485" w:rsidRDefault="003D4485" w:rsidP="00C413F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Razmatranje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 i </w:t>
            </w:r>
            <w:proofErr w:type="spellStart"/>
            <w:r>
              <w:t>davanje</w:t>
            </w:r>
            <w:proofErr w:type="spellEnd"/>
            <w:r>
              <w:t xml:space="preserve"> </w:t>
            </w:r>
            <w:proofErr w:type="spellStart"/>
            <w:r>
              <w:t>saglasnosti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</w:t>
            </w:r>
            <w:proofErr w:type="spellStart"/>
            <w:r>
              <w:t>cilju</w:t>
            </w:r>
            <w:proofErr w:type="spellEnd"/>
            <w:r>
              <w:t xml:space="preserve"> </w:t>
            </w:r>
            <w:proofErr w:type="spellStart"/>
            <w:r>
              <w:t>izrade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objavljivanja</w:t>
            </w:r>
            <w:proofErr w:type="spellEnd"/>
            <w:r>
              <w:t xml:space="preserve"> u </w:t>
            </w:r>
            <w:proofErr w:type="spellStart"/>
            <w:r>
              <w:t>međunarodnim</w:t>
            </w:r>
            <w:proofErr w:type="spellEnd"/>
            <w:r>
              <w:t xml:space="preserve"> </w:t>
            </w:r>
            <w:proofErr w:type="spellStart"/>
            <w:r>
              <w:t>časopisima</w:t>
            </w:r>
            <w:proofErr w:type="spellEnd"/>
            <w:r>
              <w:t xml:space="preserve"> i </w:t>
            </w:r>
            <w:proofErr w:type="spellStart"/>
            <w:r>
              <w:t>kongresima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“</w:t>
            </w:r>
            <w:proofErr w:type="spellStart"/>
            <w:r>
              <w:t>Formiranje</w:t>
            </w:r>
            <w:proofErr w:type="spellEnd"/>
            <w:r>
              <w:t xml:space="preserve"> </w:t>
            </w:r>
            <w:proofErr w:type="spellStart"/>
            <w:r>
              <w:t>jedinstvene</w:t>
            </w:r>
            <w:proofErr w:type="spellEnd"/>
            <w:r>
              <w:t xml:space="preserve"> </w:t>
            </w:r>
            <w:proofErr w:type="spellStart"/>
            <w:r>
              <w:t>baze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hospitalno</w:t>
            </w:r>
            <w:proofErr w:type="spellEnd"/>
            <w:r>
              <w:t xml:space="preserve"> </w:t>
            </w:r>
            <w:proofErr w:type="spellStart"/>
            <w:r>
              <w:t>lečenih</w:t>
            </w:r>
            <w:proofErr w:type="spellEnd"/>
            <w:r>
              <w:t xml:space="preserve"> </w:t>
            </w:r>
            <w:proofErr w:type="spellStart"/>
            <w:r>
              <w:t>bolesnika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Klinici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kožno</w:t>
            </w:r>
            <w:proofErr w:type="spellEnd"/>
            <w:r>
              <w:t xml:space="preserve"> – </w:t>
            </w:r>
            <w:proofErr w:type="spellStart"/>
            <w:r>
              <w:t>venerične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u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Sadu</w:t>
            </w:r>
            <w:proofErr w:type="spellEnd"/>
            <w:r>
              <w:t xml:space="preserve"> ” </w:t>
            </w:r>
            <w:proofErr w:type="spellStart"/>
            <w:r>
              <w:t>podnosilac</w:t>
            </w:r>
            <w:proofErr w:type="spellEnd"/>
            <w:r>
              <w:t xml:space="preserve"> </w:t>
            </w:r>
            <w:proofErr w:type="spellStart"/>
            <w:r>
              <w:t>zahteva</w:t>
            </w:r>
            <w:proofErr w:type="spellEnd"/>
            <w:r>
              <w:t xml:space="preserve"> prof. dr Milan </w:t>
            </w:r>
            <w:proofErr w:type="spellStart"/>
            <w:r>
              <w:t>Matić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</w:tcPr>
          <w:p w:rsidR="003D4485" w:rsidRDefault="003D4485" w:rsidP="00C413F1">
            <w:pPr>
              <w:jc w:val="both"/>
            </w:pPr>
            <w:r>
              <w:t>22.</w:t>
            </w:r>
          </w:p>
          <w:p w:rsidR="003D4485" w:rsidRDefault="003D4485" w:rsidP="00C413F1">
            <w:pPr>
              <w:jc w:val="both"/>
            </w:pPr>
          </w:p>
        </w:tc>
        <w:tc>
          <w:tcPr>
            <w:tcW w:w="8930" w:type="dxa"/>
          </w:tcPr>
          <w:p w:rsidR="003D4485" w:rsidRDefault="003D4485" w:rsidP="00C413F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Razmatranje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 i </w:t>
            </w:r>
            <w:proofErr w:type="spellStart"/>
            <w:r>
              <w:t>davanje</w:t>
            </w:r>
            <w:proofErr w:type="spellEnd"/>
            <w:r>
              <w:t xml:space="preserve"> </w:t>
            </w:r>
            <w:proofErr w:type="spellStart"/>
            <w:r>
              <w:t>saglasnosti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</w:t>
            </w:r>
            <w:proofErr w:type="spellStart"/>
            <w:r>
              <w:t>cilju</w:t>
            </w:r>
            <w:proofErr w:type="spellEnd"/>
            <w:r>
              <w:t xml:space="preserve"> </w:t>
            </w:r>
            <w:proofErr w:type="spellStart"/>
            <w:r>
              <w:t>izrade</w:t>
            </w:r>
            <w:proofErr w:type="spellEnd"/>
            <w:r>
              <w:t xml:space="preserve"> </w:t>
            </w:r>
            <w:proofErr w:type="spellStart"/>
            <w:r>
              <w:t>stručnog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zdravstvene</w:t>
            </w:r>
            <w:proofErr w:type="spellEnd"/>
            <w:r>
              <w:t xml:space="preserve"> </w:t>
            </w:r>
            <w:proofErr w:type="spellStart"/>
            <w:r>
              <w:t>subspecijalizacije</w:t>
            </w:r>
            <w:proofErr w:type="spellEnd"/>
            <w:r>
              <w:t xml:space="preserve">  pod </w:t>
            </w:r>
            <w:proofErr w:type="spellStart"/>
            <w:r>
              <w:t>nazivom</w:t>
            </w:r>
            <w:proofErr w:type="spellEnd"/>
            <w:r>
              <w:t xml:space="preserve"> “</w:t>
            </w:r>
            <w:proofErr w:type="spellStart"/>
            <w:r>
              <w:t>Indeksi</w:t>
            </w:r>
            <w:proofErr w:type="spellEnd"/>
            <w:r>
              <w:t xml:space="preserve"> </w:t>
            </w:r>
            <w:proofErr w:type="spellStart"/>
            <w:r>
              <w:t>koštanog</w:t>
            </w:r>
            <w:proofErr w:type="spellEnd"/>
            <w:r>
              <w:t xml:space="preserve"> </w:t>
            </w:r>
            <w:proofErr w:type="spellStart"/>
            <w:r>
              <w:t>metabolizma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prediktori</w:t>
            </w:r>
            <w:proofErr w:type="spellEnd"/>
            <w:r>
              <w:t xml:space="preserve"> </w:t>
            </w:r>
            <w:proofErr w:type="spellStart"/>
            <w:r>
              <w:t>reverzibilnosti</w:t>
            </w:r>
            <w:proofErr w:type="spellEnd"/>
            <w:r>
              <w:t xml:space="preserve"> </w:t>
            </w:r>
            <w:proofErr w:type="spellStart"/>
            <w:r>
              <w:t>koštanih</w:t>
            </w:r>
            <w:proofErr w:type="spellEnd"/>
            <w:r>
              <w:t xml:space="preserve"> </w:t>
            </w:r>
            <w:proofErr w:type="spellStart"/>
            <w:r>
              <w:t>promena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operativnog</w:t>
            </w:r>
            <w:proofErr w:type="spellEnd"/>
            <w:r>
              <w:t xml:space="preserve"> </w:t>
            </w:r>
            <w:proofErr w:type="spellStart"/>
            <w:r>
              <w:t>lečenja</w:t>
            </w:r>
            <w:proofErr w:type="spellEnd"/>
            <w:r>
              <w:t xml:space="preserve"> </w:t>
            </w:r>
            <w:proofErr w:type="spellStart"/>
            <w:r>
              <w:t>primarnog</w:t>
            </w:r>
            <w:proofErr w:type="spellEnd"/>
            <w:r>
              <w:t xml:space="preserve"> </w:t>
            </w:r>
            <w:proofErr w:type="spellStart"/>
            <w:r>
              <w:t>hiperparatireoidizma</w:t>
            </w:r>
            <w:proofErr w:type="spellEnd"/>
            <w:r>
              <w:t xml:space="preserve">” </w:t>
            </w:r>
            <w:proofErr w:type="spellStart"/>
            <w:r>
              <w:t>podnosilac</w:t>
            </w:r>
            <w:proofErr w:type="spellEnd"/>
            <w:r>
              <w:t xml:space="preserve"> </w:t>
            </w:r>
            <w:proofErr w:type="spellStart"/>
            <w:r>
              <w:t>zahteva</w:t>
            </w:r>
            <w:proofErr w:type="spellEnd"/>
            <w:r>
              <w:t xml:space="preserve"> dr </w:t>
            </w:r>
            <w:proofErr w:type="spellStart"/>
            <w:r>
              <w:t>Dragan</w:t>
            </w:r>
            <w:proofErr w:type="spellEnd"/>
            <w:r>
              <w:t xml:space="preserve"> </w:t>
            </w:r>
            <w:proofErr w:type="spellStart"/>
            <w:r>
              <w:t>Dražin</w:t>
            </w:r>
            <w:proofErr w:type="spellEnd"/>
            <w:r>
              <w:t>;</w:t>
            </w:r>
          </w:p>
        </w:tc>
      </w:tr>
      <w:tr w:rsidR="003D4485" w:rsidRPr="004D27EE" w:rsidTr="00C413F1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5" w:rsidRDefault="003D4485" w:rsidP="00C413F1">
            <w:pPr>
              <w:jc w:val="both"/>
            </w:pPr>
            <w:r>
              <w:t>23.</w:t>
            </w:r>
          </w:p>
          <w:p w:rsidR="003D4485" w:rsidRDefault="003D4485" w:rsidP="00C413F1">
            <w:pPr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5" w:rsidRDefault="003D4485" w:rsidP="00C413F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Razmatranje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 i </w:t>
            </w:r>
            <w:proofErr w:type="spellStart"/>
            <w:r>
              <w:t>davanje</w:t>
            </w:r>
            <w:proofErr w:type="spellEnd"/>
            <w:r>
              <w:t xml:space="preserve"> </w:t>
            </w:r>
            <w:proofErr w:type="spellStart"/>
            <w:r>
              <w:t>saglasnosti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</w:t>
            </w:r>
            <w:proofErr w:type="spellStart"/>
            <w:r>
              <w:t>cilju</w:t>
            </w:r>
            <w:proofErr w:type="spellEnd"/>
            <w:r>
              <w:t xml:space="preserve"> </w:t>
            </w:r>
            <w:proofErr w:type="spellStart"/>
            <w:r>
              <w:t>izrade</w:t>
            </w:r>
            <w:proofErr w:type="spellEnd"/>
            <w:r>
              <w:t xml:space="preserve"> </w:t>
            </w:r>
            <w:proofErr w:type="spellStart"/>
            <w:r>
              <w:t>diplomskog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“</w:t>
            </w:r>
            <w:proofErr w:type="spellStart"/>
            <w:r>
              <w:t>Povezanost</w:t>
            </w:r>
            <w:proofErr w:type="spellEnd"/>
            <w:r>
              <w:t xml:space="preserve"> </w:t>
            </w:r>
            <w:proofErr w:type="spellStart"/>
            <w:r>
              <w:t>sarkopenije</w:t>
            </w:r>
            <w:proofErr w:type="spellEnd"/>
            <w:r>
              <w:t xml:space="preserve"> i </w:t>
            </w:r>
            <w:proofErr w:type="spellStart"/>
            <w:r>
              <w:t>osteoporoze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prelomom</w:t>
            </w:r>
            <w:proofErr w:type="spellEnd"/>
            <w:r>
              <w:t xml:space="preserve"> </w:t>
            </w:r>
            <w:proofErr w:type="spellStart"/>
            <w:r>
              <w:t>kuka</w:t>
            </w:r>
            <w:proofErr w:type="spellEnd"/>
            <w:r>
              <w:t xml:space="preserve">” </w:t>
            </w:r>
            <w:proofErr w:type="spellStart"/>
            <w:r>
              <w:t>podnosilac</w:t>
            </w:r>
            <w:proofErr w:type="spellEnd"/>
            <w:r>
              <w:t xml:space="preserve"> </w:t>
            </w:r>
            <w:proofErr w:type="spellStart"/>
            <w:r>
              <w:t>zahteva</w:t>
            </w:r>
            <w:proofErr w:type="spellEnd"/>
            <w:r>
              <w:t xml:space="preserve"> Jelena </w:t>
            </w:r>
            <w:proofErr w:type="spellStart"/>
            <w:r>
              <w:t>Malinović</w:t>
            </w:r>
            <w:proofErr w:type="spellEnd"/>
            <w:r>
              <w:t>;</w:t>
            </w:r>
          </w:p>
        </w:tc>
      </w:tr>
    </w:tbl>
    <w:p w:rsidR="003D4485" w:rsidRDefault="003D4485" w:rsidP="003D4485"/>
    <w:p w:rsidR="003D4485" w:rsidRDefault="003D4485" w:rsidP="003D4485">
      <w:pPr>
        <w:shd w:val="clear" w:color="auto" w:fill="FFFFFF"/>
        <w:ind w:left="4248" w:firstLine="708"/>
        <w:jc w:val="both"/>
      </w:pPr>
      <w:r>
        <w:rPr>
          <w:b/>
          <w:bCs/>
        </w:rPr>
        <w:t xml:space="preserve">PREDSEDNIK ETIČKOG ODBORA </w:t>
      </w:r>
    </w:p>
    <w:p w:rsidR="003D4485" w:rsidRDefault="003D4485" w:rsidP="003D4485">
      <w:pPr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Prof. </w:t>
      </w:r>
      <w:proofErr w:type="gramStart"/>
      <w:r>
        <w:rPr>
          <w:b/>
        </w:rPr>
        <w:t>dr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Edita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Stokić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s.r.</w:t>
      </w:r>
      <w:proofErr w:type="spellEnd"/>
      <w:r>
        <w:rPr>
          <w:b/>
        </w:rPr>
        <w:t xml:space="preserve">    </w:t>
      </w:r>
    </w:p>
    <w:p w:rsidR="003D4485" w:rsidRDefault="003D4485" w:rsidP="003D4485"/>
    <w:p w:rsidR="003D4485" w:rsidRDefault="003D4485" w:rsidP="003D4485"/>
    <w:p w:rsidR="003D4485" w:rsidRDefault="003D4485" w:rsidP="003D4485"/>
    <w:p w:rsidR="003D4485" w:rsidRDefault="003D4485" w:rsidP="003D4485"/>
    <w:p w:rsidR="003D4485" w:rsidRDefault="003D4485" w:rsidP="003D4485"/>
    <w:p w:rsidR="00083CA5" w:rsidRDefault="00083CA5"/>
    <w:p w:rsidR="001A1623" w:rsidRDefault="001A1623"/>
    <w:p w:rsidR="001A1623" w:rsidRDefault="001A1623">
      <w:bookmarkStart w:id="0" w:name="_GoBack"/>
      <w:bookmarkEnd w:id="0"/>
    </w:p>
    <w:sectPr w:rsidR="001A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85"/>
    <w:rsid w:val="00017BE9"/>
    <w:rsid w:val="00055433"/>
    <w:rsid w:val="00083CA5"/>
    <w:rsid w:val="000A67DD"/>
    <w:rsid w:val="001126CC"/>
    <w:rsid w:val="001230DA"/>
    <w:rsid w:val="00131A99"/>
    <w:rsid w:val="001A1623"/>
    <w:rsid w:val="001C5913"/>
    <w:rsid w:val="001F487B"/>
    <w:rsid w:val="001F4C15"/>
    <w:rsid w:val="00202BBE"/>
    <w:rsid w:val="00274DCC"/>
    <w:rsid w:val="0027718C"/>
    <w:rsid w:val="002E26A2"/>
    <w:rsid w:val="002F4146"/>
    <w:rsid w:val="00310C3B"/>
    <w:rsid w:val="003701CD"/>
    <w:rsid w:val="003C4A16"/>
    <w:rsid w:val="003D4485"/>
    <w:rsid w:val="004413B1"/>
    <w:rsid w:val="004C6744"/>
    <w:rsid w:val="004D798F"/>
    <w:rsid w:val="005243FE"/>
    <w:rsid w:val="0057553B"/>
    <w:rsid w:val="00596DAB"/>
    <w:rsid w:val="005C4753"/>
    <w:rsid w:val="0061499F"/>
    <w:rsid w:val="007032A6"/>
    <w:rsid w:val="00775850"/>
    <w:rsid w:val="00780897"/>
    <w:rsid w:val="00786CA7"/>
    <w:rsid w:val="008116CF"/>
    <w:rsid w:val="008371EB"/>
    <w:rsid w:val="00855FE8"/>
    <w:rsid w:val="008B2E96"/>
    <w:rsid w:val="008F477D"/>
    <w:rsid w:val="00920B23"/>
    <w:rsid w:val="00982D1E"/>
    <w:rsid w:val="009A33A0"/>
    <w:rsid w:val="009D09FE"/>
    <w:rsid w:val="00A35F7C"/>
    <w:rsid w:val="00A41522"/>
    <w:rsid w:val="00A51E95"/>
    <w:rsid w:val="00A56DC6"/>
    <w:rsid w:val="00A71DD3"/>
    <w:rsid w:val="00A87BA2"/>
    <w:rsid w:val="00B16837"/>
    <w:rsid w:val="00B37068"/>
    <w:rsid w:val="00B93427"/>
    <w:rsid w:val="00CE180A"/>
    <w:rsid w:val="00D41212"/>
    <w:rsid w:val="00D67BF3"/>
    <w:rsid w:val="00D8641E"/>
    <w:rsid w:val="00DA6CB9"/>
    <w:rsid w:val="00E64C64"/>
    <w:rsid w:val="00E70B53"/>
    <w:rsid w:val="00EB0EA6"/>
    <w:rsid w:val="00EB1C09"/>
    <w:rsid w:val="00EB68D5"/>
    <w:rsid w:val="00F84321"/>
    <w:rsid w:val="00FC580F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4485"/>
    <w:pPr>
      <w:keepNext/>
      <w:jc w:val="center"/>
      <w:outlineLvl w:val="0"/>
    </w:pPr>
    <w:rPr>
      <w:rFonts w:eastAsia="Arial Unicode MS"/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485"/>
    <w:rPr>
      <w:rFonts w:ascii="Times New Roman" w:eastAsia="Arial Unicode MS" w:hAnsi="Times New Roman" w:cs="Times New Roman"/>
      <w:b/>
      <w:bCs/>
      <w:sz w:val="28"/>
      <w:szCs w:val="24"/>
      <w:lang w:val="sl-SI"/>
    </w:rPr>
  </w:style>
  <w:style w:type="paragraph" w:styleId="BodyText">
    <w:name w:val="Body Text"/>
    <w:basedOn w:val="Normal"/>
    <w:link w:val="BodyTextChar"/>
    <w:semiHidden/>
    <w:rsid w:val="003D4485"/>
    <w:rPr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3D4485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D44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D448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D448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4485"/>
    <w:pPr>
      <w:keepNext/>
      <w:jc w:val="center"/>
      <w:outlineLvl w:val="0"/>
    </w:pPr>
    <w:rPr>
      <w:rFonts w:eastAsia="Arial Unicode MS"/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485"/>
    <w:rPr>
      <w:rFonts w:ascii="Times New Roman" w:eastAsia="Arial Unicode MS" w:hAnsi="Times New Roman" w:cs="Times New Roman"/>
      <w:b/>
      <w:bCs/>
      <w:sz w:val="28"/>
      <w:szCs w:val="24"/>
      <w:lang w:val="sl-SI"/>
    </w:rPr>
  </w:style>
  <w:style w:type="paragraph" w:styleId="BodyText">
    <w:name w:val="Body Text"/>
    <w:basedOn w:val="Normal"/>
    <w:link w:val="BodyTextChar"/>
    <w:semiHidden/>
    <w:rsid w:val="003D4485"/>
    <w:rPr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3D4485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D44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D448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D448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2018-10-09T09:37:00Z</dcterms:created>
  <dcterms:modified xsi:type="dcterms:W3CDTF">2018-10-09T09:37:00Z</dcterms:modified>
</cp:coreProperties>
</file>